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41" w:rsidRPr="00C324D9" w:rsidRDefault="00835141" w:rsidP="0083514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040A4">
        <w:rPr>
          <w:rFonts w:ascii="Times New Roman" w:hAnsi="Times New Roman" w:cs="Times New Roman"/>
          <w:sz w:val="28"/>
          <w:szCs w:val="28"/>
        </w:rPr>
        <w:t>isposte ai quesiti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3CB">
        <w:rPr>
          <w:rFonts w:ascii="Times New Roman" w:hAnsi="Times New Roman" w:cs="Times New Roman"/>
          <w:sz w:val="28"/>
          <w:szCs w:val="28"/>
        </w:rPr>
        <w:t>relative alle Ordinanze per la riparazione di “danni lievi”.</w:t>
      </w:r>
    </w:p>
    <w:p w:rsidR="001C5075" w:rsidRDefault="001C5075" w:rsidP="006040A4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411D" w:rsidRPr="00152B8A" w:rsidRDefault="0030411D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B8A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152B8A">
        <w:rPr>
          <w:rFonts w:ascii="Times New Roman" w:hAnsi="Times New Roman" w:cs="Times New Roman"/>
          <w:sz w:val="28"/>
          <w:szCs w:val="28"/>
        </w:rPr>
        <w:t xml:space="preserve"> possibile richiedere il contributo per lavori di riparazione dei danni da sisma eseguiti prima dell’entrata in vigore del D. L. n. 109/2018 convertito nella Legge n. 130 del 16/11/2018?</w:t>
      </w:r>
    </w:p>
    <w:p w:rsidR="00152B8A" w:rsidRDefault="0030411D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11D">
        <w:rPr>
          <w:rFonts w:ascii="Times New Roman" w:hAnsi="Times New Roman" w:cs="Times New Roman"/>
          <w:b/>
          <w:sz w:val="28"/>
          <w:szCs w:val="28"/>
        </w:rPr>
        <w:t xml:space="preserve">Per gli interventi di riparazione dei danni lievi eseguiti in data antecedente al DL 109/2018 e all’adozione delle ordinanze formali, è necessario che gli interessati producano una </w:t>
      </w:r>
      <w:proofErr w:type="spellStart"/>
      <w:r w:rsidRPr="0030411D">
        <w:rPr>
          <w:rFonts w:ascii="Times New Roman" w:hAnsi="Times New Roman" w:cs="Times New Roman"/>
          <w:b/>
          <w:sz w:val="28"/>
          <w:szCs w:val="28"/>
        </w:rPr>
        <w:t>predomanda</w:t>
      </w:r>
      <w:proofErr w:type="spellEnd"/>
      <w:r w:rsidRPr="0030411D">
        <w:rPr>
          <w:rFonts w:ascii="Times New Roman" w:hAnsi="Times New Roman" w:cs="Times New Roman"/>
          <w:b/>
          <w:sz w:val="28"/>
          <w:szCs w:val="28"/>
        </w:rPr>
        <w:t xml:space="preserve"> al Comune sulla base di quanto previsto dal DL e dalle ordinanze 2/2018 e 4/2019. In particolare occorrerà esibire quanto utile a sapere se i lavori sono stati autorizzati da Cila o altro titolo autorizzativo, se trattasi di immobile legittimo o parzialmente abusivo (se è intervenuto eventualmente il condono), se è presente la scheda Aedes o l’ordinanza di sgombero e quali siano i documenti di spesa</w:t>
      </w:r>
      <w:r w:rsidR="00EF2B1C" w:rsidRPr="00E60E04">
        <w:rPr>
          <w:rFonts w:ascii="Times New Roman" w:hAnsi="Times New Roman" w:cs="Times New Roman"/>
          <w:b/>
          <w:sz w:val="28"/>
          <w:szCs w:val="28"/>
        </w:rPr>
        <w:t>.</w:t>
      </w:r>
      <w:r w:rsidR="00EF2B1C" w:rsidRPr="00EF2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075" w:rsidRPr="00152B8A" w:rsidRDefault="001C5075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8A">
        <w:rPr>
          <w:rFonts w:ascii="Times New Roman" w:hAnsi="Times New Roman" w:cs="Times New Roman"/>
          <w:sz w:val="28"/>
          <w:szCs w:val="28"/>
        </w:rPr>
        <w:t>Nel caso di risposta affermativa alla domanda precedente, la documentazione dovrà essere sempre quella riportata nell’ordinanza?</w:t>
      </w:r>
    </w:p>
    <w:p w:rsidR="001C5075" w:rsidRPr="00167A55" w:rsidRDefault="005B1AA7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Fermo restando quanto rappresentato al punto 1), la documentazione </w:t>
      </w:r>
      <w:r w:rsidR="0070043B">
        <w:rPr>
          <w:rFonts w:ascii="Times New Roman" w:hAnsi="Times New Roman" w:cs="Times New Roman"/>
          <w:b/>
          <w:sz w:val="28"/>
          <w:szCs w:val="28"/>
        </w:rPr>
        <w:t>non è soggetta a variazioni.</w:t>
      </w:r>
    </w:p>
    <w:p w:rsidR="001C5075" w:rsidRDefault="001C5075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alla data dell’ordinanza n. 2, le procedure di autorizzazione erano state già avviate oppure ottenute in tutto o in parte, l’esecuzione è compatibile con l’ordinanza?</w:t>
      </w:r>
    </w:p>
    <w:p w:rsidR="00960183" w:rsidRPr="00960183" w:rsidRDefault="00654E86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Allo stato s</w:t>
      </w:r>
      <w:r w:rsidR="006B376D">
        <w:rPr>
          <w:rFonts w:ascii="Times New Roman" w:hAnsi="Times New Roman" w:cs="Times New Roman"/>
          <w:b/>
          <w:sz w:val="28"/>
          <w:szCs w:val="28"/>
        </w:rPr>
        <w:t xml:space="preserve">olo </w:t>
      </w:r>
      <w:r w:rsidR="0070043B">
        <w:rPr>
          <w:rFonts w:ascii="Times New Roman" w:hAnsi="Times New Roman" w:cs="Times New Roman"/>
          <w:b/>
          <w:sz w:val="28"/>
          <w:szCs w:val="28"/>
        </w:rPr>
        <w:t xml:space="preserve">se </w:t>
      </w:r>
      <w:r>
        <w:rPr>
          <w:rFonts w:ascii="Times New Roman" w:hAnsi="Times New Roman" w:cs="Times New Roman"/>
          <w:b/>
          <w:sz w:val="28"/>
          <w:szCs w:val="28"/>
        </w:rPr>
        <w:t xml:space="preserve">successive alla emanazione del D. L. n. 109/2018 e </w:t>
      </w:r>
      <w:r w:rsidR="008E026D">
        <w:rPr>
          <w:rFonts w:ascii="Times New Roman" w:hAnsi="Times New Roman" w:cs="Times New Roman"/>
          <w:b/>
          <w:sz w:val="28"/>
          <w:szCs w:val="28"/>
        </w:rPr>
        <w:t xml:space="preserve">nei limiti di cui ai punti precedenti e nel rispetto dei </w:t>
      </w:r>
      <w:r w:rsidR="00533191" w:rsidRPr="00167A55">
        <w:rPr>
          <w:rFonts w:ascii="Times New Roman" w:hAnsi="Times New Roman" w:cs="Times New Roman"/>
          <w:b/>
          <w:sz w:val="28"/>
          <w:szCs w:val="28"/>
        </w:rPr>
        <w:t>requis</w:t>
      </w:r>
      <w:r w:rsidR="00960183">
        <w:rPr>
          <w:rFonts w:ascii="Times New Roman" w:hAnsi="Times New Roman" w:cs="Times New Roman"/>
          <w:b/>
          <w:sz w:val="28"/>
          <w:szCs w:val="28"/>
        </w:rPr>
        <w:t>i</w:t>
      </w:r>
      <w:r w:rsidR="00533191" w:rsidRPr="00167A55">
        <w:rPr>
          <w:rFonts w:ascii="Times New Roman" w:hAnsi="Times New Roman" w:cs="Times New Roman"/>
          <w:b/>
          <w:sz w:val="28"/>
          <w:szCs w:val="28"/>
        </w:rPr>
        <w:t>ti previsti per le imprese ed i tecnici (</w:t>
      </w:r>
      <w:r w:rsidR="00EF2B1C">
        <w:rPr>
          <w:rFonts w:ascii="Times New Roman" w:hAnsi="Times New Roman" w:cs="Times New Roman"/>
          <w:b/>
          <w:sz w:val="28"/>
          <w:szCs w:val="28"/>
        </w:rPr>
        <w:t xml:space="preserve">ad </w:t>
      </w:r>
      <w:r w:rsidR="00533191" w:rsidRPr="00167A55">
        <w:rPr>
          <w:rFonts w:ascii="Times New Roman" w:hAnsi="Times New Roman" w:cs="Times New Roman"/>
          <w:b/>
          <w:sz w:val="28"/>
          <w:szCs w:val="28"/>
        </w:rPr>
        <w:t>es. se l’impresa non è iscritta all’Anagrafe Antimafia deve farlo)</w:t>
      </w:r>
      <w:r w:rsidR="00883ADC">
        <w:rPr>
          <w:rFonts w:ascii="Times New Roman" w:hAnsi="Times New Roman" w:cs="Times New Roman"/>
          <w:b/>
          <w:sz w:val="28"/>
          <w:szCs w:val="28"/>
        </w:rPr>
        <w:t>.</w:t>
      </w:r>
    </w:p>
    <w:p w:rsidR="001C5075" w:rsidRPr="00152B8A" w:rsidRDefault="004A4F6F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2B8A">
        <w:rPr>
          <w:rFonts w:ascii="Times New Roman" w:hAnsi="Times New Roman" w:cs="Times New Roman"/>
          <w:sz w:val="28"/>
          <w:szCs w:val="28"/>
        </w:rPr>
        <w:t>Nell’</w:t>
      </w:r>
      <w:r w:rsidR="000F374E" w:rsidRPr="00152B8A">
        <w:rPr>
          <w:rFonts w:ascii="Times New Roman" w:hAnsi="Times New Roman" w:cs="Times New Roman"/>
          <w:sz w:val="28"/>
          <w:szCs w:val="28"/>
        </w:rPr>
        <w:t>ipotesi che i risultati della microzonazione sismica indichino dati diversi dal recupero edilizio in sito, gli interventi effettuati, relativi alla riparazione dei c.d. “danni lievi”, come saranno considerati?</w:t>
      </w:r>
    </w:p>
    <w:p w:rsidR="003C0ED5" w:rsidRDefault="006B376D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Senza dimenticare che si tratta di interventi su danni lievi e non di ricostruzione, i</w:t>
      </w:r>
      <w:r w:rsidR="003C0ED5" w:rsidRPr="003C0ED5">
        <w:rPr>
          <w:rFonts w:ascii="Times New Roman" w:hAnsi="Times New Roman" w:cs="Times New Roman"/>
          <w:b/>
          <w:sz w:val="28"/>
          <w:szCs w:val="28"/>
        </w:rPr>
        <w:t>l</w:t>
      </w:r>
      <w:r w:rsidR="00091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tecnico </w:t>
      </w:r>
      <w:r w:rsidR="003C0ED5" w:rsidRPr="00E60E04">
        <w:rPr>
          <w:rFonts w:ascii="Times New Roman" w:hAnsi="Times New Roman" w:cs="Times New Roman"/>
          <w:b/>
          <w:sz w:val="28"/>
          <w:szCs w:val="28"/>
        </w:rPr>
        <w:t>incaricato</w:t>
      </w:r>
      <w:r w:rsidR="00886B6E" w:rsidRPr="00E60E04">
        <w:rPr>
          <w:rFonts w:ascii="Times New Roman" w:hAnsi="Times New Roman" w:cs="Times New Roman"/>
          <w:b/>
          <w:sz w:val="28"/>
          <w:szCs w:val="28"/>
        </w:rPr>
        <w:t xml:space="preserve"> dal privato</w:t>
      </w:r>
      <w:r w:rsidR="003C0ED5" w:rsidRPr="00E60E04">
        <w:rPr>
          <w:rFonts w:ascii="Times New Roman" w:hAnsi="Times New Roman" w:cs="Times New Roman"/>
          <w:b/>
          <w:sz w:val="28"/>
          <w:szCs w:val="28"/>
        </w:rPr>
        <w:t>, sulla base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 degli studi già esistenti e della localizzazione degli immobili in area </w:t>
      </w:r>
      <w:r w:rsidR="008E026D">
        <w:rPr>
          <w:rFonts w:ascii="Times New Roman" w:hAnsi="Times New Roman" w:cs="Times New Roman"/>
          <w:b/>
          <w:sz w:val="28"/>
          <w:szCs w:val="28"/>
        </w:rPr>
        <w:t xml:space="preserve">dimostratasi 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più o meno </w:t>
      </w:r>
      <w:r>
        <w:rPr>
          <w:rFonts w:ascii="Times New Roman" w:hAnsi="Times New Roman" w:cs="Times New Roman"/>
          <w:b/>
          <w:sz w:val="28"/>
          <w:szCs w:val="28"/>
        </w:rPr>
        <w:t>attinta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 dall’ultimo evento sismico </w:t>
      </w:r>
      <w:r>
        <w:rPr>
          <w:rFonts w:ascii="Times New Roman" w:hAnsi="Times New Roman" w:cs="Times New Roman"/>
          <w:b/>
          <w:sz w:val="28"/>
          <w:szCs w:val="28"/>
        </w:rPr>
        <w:t>e dai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 precedenti noti, potrà fornire utili indicazioni sulle condizioni di rischio potenziale. </w:t>
      </w:r>
      <w:r w:rsidR="008E026D">
        <w:rPr>
          <w:rFonts w:ascii="Times New Roman" w:hAnsi="Times New Roman" w:cs="Times New Roman"/>
          <w:b/>
          <w:sz w:val="28"/>
          <w:szCs w:val="28"/>
        </w:rPr>
        <w:t>I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nterventi del genere non possono </w:t>
      </w:r>
      <w:r w:rsidR="008E026D">
        <w:rPr>
          <w:rFonts w:ascii="Times New Roman" w:hAnsi="Times New Roman" w:cs="Times New Roman"/>
          <w:b/>
          <w:sz w:val="28"/>
          <w:szCs w:val="28"/>
        </w:rPr>
        <w:t xml:space="preserve">comunque 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ritenersi praticabili in zona rossa. </w:t>
      </w:r>
      <w:r w:rsidR="008E026D">
        <w:rPr>
          <w:rFonts w:ascii="Times New Roman" w:hAnsi="Times New Roman" w:cs="Times New Roman"/>
          <w:b/>
          <w:sz w:val="28"/>
          <w:szCs w:val="28"/>
        </w:rPr>
        <w:t>In t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ali </w:t>
      </w:r>
      <w:r w:rsidR="008E026D">
        <w:rPr>
          <w:rFonts w:ascii="Times New Roman" w:hAnsi="Times New Roman" w:cs="Times New Roman"/>
          <w:b/>
          <w:sz w:val="28"/>
          <w:szCs w:val="28"/>
        </w:rPr>
        <w:t xml:space="preserve">termini, </w:t>
      </w:r>
      <w:r w:rsidR="003C0ED5">
        <w:rPr>
          <w:rFonts w:ascii="Times New Roman" w:hAnsi="Times New Roman" w:cs="Times New Roman"/>
          <w:b/>
          <w:sz w:val="28"/>
          <w:szCs w:val="28"/>
        </w:rPr>
        <w:t>del resto</w:t>
      </w:r>
      <w:r w:rsidR="008E026D">
        <w:rPr>
          <w:rFonts w:ascii="Times New Roman" w:hAnsi="Times New Roman" w:cs="Times New Roman"/>
          <w:b/>
          <w:sz w:val="28"/>
          <w:szCs w:val="28"/>
        </w:rPr>
        <w:t xml:space="preserve">, si sono determinate le pubbliche amministrazioni per gli eventi </w:t>
      </w:r>
      <w:r w:rsidR="003C0ED5">
        <w:rPr>
          <w:rFonts w:ascii="Times New Roman" w:hAnsi="Times New Roman" w:cs="Times New Roman"/>
          <w:b/>
          <w:sz w:val="28"/>
          <w:szCs w:val="28"/>
        </w:rPr>
        <w:t xml:space="preserve">sismici che hanno interessato </w:t>
      </w:r>
      <w:r w:rsidR="008E026D">
        <w:rPr>
          <w:rFonts w:ascii="Times New Roman" w:hAnsi="Times New Roman" w:cs="Times New Roman"/>
          <w:b/>
          <w:sz w:val="28"/>
          <w:szCs w:val="28"/>
        </w:rPr>
        <w:t xml:space="preserve">l’Italia nell’ultimo decennio e, così, </w:t>
      </w:r>
      <w:r w:rsidR="008E02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nell’attualità il </w:t>
      </w:r>
      <w:r w:rsidR="00AC12F2">
        <w:rPr>
          <w:rFonts w:ascii="Times New Roman" w:hAnsi="Times New Roman" w:cs="Times New Roman"/>
          <w:b/>
          <w:sz w:val="28"/>
          <w:szCs w:val="28"/>
        </w:rPr>
        <w:t xml:space="preserve">MIUR per le scuole e </w:t>
      </w:r>
      <w:r w:rsidR="008E026D">
        <w:rPr>
          <w:rFonts w:ascii="Times New Roman" w:hAnsi="Times New Roman" w:cs="Times New Roman"/>
          <w:b/>
          <w:sz w:val="28"/>
          <w:szCs w:val="28"/>
        </w:rPr>
        <w:t>il MIBACT per le chiese e i monu</w:t>
      </w:r>
      <w:r w:rsidR="00AC12F2">
        <w:rPr>
          <w:rFonts w:ascii="Times New Roman" w:hAnsi="Times New Roman" w:cs="Times New Roman"/>
          <w:b/>
          <w:sz w:val="28"/>
          <w:szCs w:val="28"/>
        </w:rPr>
        <w:t>menti</w:t>
      </w:r>
      <w:r w:rsidR="00883ADC">
        <w:rPr>
          <w:rFonts w:ascii="Times New Roman" w:hAnsi="Times New Roman" w:cs="Times New Roman"/>
          <w:b/>
          <w:sz w:val="28"/>
          <w:szCs w:val="28"/>
        </w:rPr>
        <w:t>.</w:t>
      </w:r>
    </w:p>
    <w:p w:rsidR="00D3184F" w:rsidRDefault="000F374E" w:rsidP="00152B8A">
      <w:pPr>
        <w:pStyle w:val="Paragrafoelenco"/>
        <w:numPr>
          <w:ilvl w:val="0"/>
          <w:numId w:val="12"/>
        </w:numPr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Nell’ambito della zona rossa e delle zone limitrofe è opportuno avviare interventi su edifici con “danni lievi”?</w:t>
      </w:r>
    </w:p>
    <w:p w:rsidR="00960183" w:rsidRDefault="00152B8A" w:rsidP="00152B8A">
      <w:pPr>
        <w:pStyle w:val="Paragrafoelenco"/>
        <w:tabs>
          <w:tab w:val="left" w:pos="567"/>
        </w:tabs>
        <w:spacing w:after="0" w:line="312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C12F2">
        <w:rPr>
          <w:rFonts w:ascii="Times New Roman" w:hAnsi="Times New Roman" w:cs="Times New Roman"/>
          <w:b/>
          <w:sz w:val="28"/>
          <w:szCs w:val="28"/>
        </w:rPr>
        <w:t>Si richiama quanto evidenziato al punto 4)</w:t>
      </w:r>
      <w:r w:rsidR="00862D7E">
        <w:rPr>
          <w:rFonts w:ascii="Times New Roman" w:hAnsi="Times New Roman" w:cs="Times New Roman"/>
          <w:b/>
          <w:sz w:val="28"/>
          <w:szCs w:val="28"/>
        </w:rPr>
        <w:t>.</w:t>
      </w:r>
    </w:p>
    <w:p w:rsidR="00CD2E92" w:rsidRDefault="00CD2E92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caso di edificio solo in parte interessato da domanda di condono edilizio non ancora esi</w:t>
      </w:r>
      <w:r w:rsidR="00B36AFA">
        <w:rPr>
          <w:rFonts w:ascii="Times New Roman" w:hAnsi="Times New Roman" w:cs="Times New Roman"/>
          <w:sz w:val="28"/>
          <w:szCs w:val="28"/>
        </w:rPr>
        <w:t>tata, la procedura di presentazione rimane invariata?</w:t>
      </w:r>
    </w:p>
    <w:p w:rsidR="00B36AFA" w:rsidRDefault="00B36AFA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A55">
        <w:rPr>
          <w:rFonts w:ascii="Times New Roman" w:hAnsi="Times New Roman" w:cs="Times New Roman"/>
          <w:b/>
          <w:sz w:val="28"/>
          <w:szCs w:val="28"/>
        </w:rPr>
        <w:t xml:space="preserve">SI, </w:t>
      </w:r>
      <w:r w:rsidR="00883ADC">
        <w:rPr>
          <w:rFonts w:ascii="Times New Roman" w:hAnsi="Times New Roman" w:cs="Times New Roman"/>
          <w:b/>
          <w:sz w:val="28"/>
          <w:szCs w:val="28"/>
        </w:rPr>
        <w:t xml:space="preserve">fermo restando che </w:t>
      </w:r>
      <w:r w:rsidR="00AC12F2">
        <w:rPr>
          <w:rFonts w:ascii="Times New Roman" w:hAnsi="Times New Roman" w:cs="Times New Roman"/>
          <w:b/>
          <w:sz w:val="28"/>
          <w:szCs w:val="28"/>
        </w:rPr>
        <w:t>allo stato il contributo potrà essere erogato solo per la parte</w:t>
      </w:r>
      <w:r w:rsidR="00883ADC">
        <w:rPr>
          <w:rFonts w:ascii="Times New Roman" w:hAnsi="Times New Roman" w:cs="Times New Roman"/>
          <w:b/>
          <w:sz w:val="28"/>
          <w:szCs w:val="28"/>
        </w:rPr>
        <w:t xml:space="preserve"> dell’immobile legittima ab</w:t>
      </w:r>
      <w:r w:rsidR="00862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F2">
        <w:rPr>
          <w:rFonts w:ascii="Times New Roman" w:hAnsi="Times New Roman" w:cs="Times New Roman"/>
          <w:b/>
          <w:sz w:val="28"/>
          <w:szCs w:val="28"/>
        </w:rPr>
        <w:t>origine, s</w:t>
      </w:r>
      <w:r w:rsidR="00883ADC">
        <w:rPr>
          <w:rFonts w:ascii="Times New Roman" w:hAnsi="Times New Roman" w:cs="Times New Roman"/>
          <w:b/>
          <w:sz w:val="28"/>
          <w:szCs w:val="28"/>
        </w:rPr>
        <w:t>olo</w:t>
      </w:r>
      <w:r w:rsidR="00862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ADC">
        <w:rPr>
          <w:rFonts w:ascii="Times New Roman" w:hAnsi="Times New Roman" w:cs="Times New Roman"/>
          <w:b/>
          <w:sz w:val="28"/>
          <w:szCs w:val="28"/>
        </w:rPr>
        <w:t xml:space="preserve">eventuali </w:t>
      </w:r>
      <w:r w:rsidR="00AC12F2">
        <w:rPr>
          <w:rFonts w:ascii="Times New Roman" w:hAnsi="Times New Roman" w:cs="Times New Roman"/>
          <w:b/>
          <w:sz w:val="28"/>
          <w:szCs w:val="28"/>
        </w:rPr>
        <w:t>successivi interventi di carattere normativo</w:t>
      </w:r>
      <w:r w:rsidR="00883ADC">
        <w:rPr>
          <w:rFonts w:ascii="Times New Roman" w:hAnsi="Times New Roman" w:cs="Times New Roman"/>
          <w:b/>
          <w:sz w:val="28"/>
          <w:szCs w:val="28"/>
        </w:rPr>
        <w:t xml:space="preserve">, potrebbero portare a soluzioni di maggiore favore. </w:t>
      </w:r>
    </w:p>
    <w:p w:rsidR="006738C2" w:rsidRDefault="006738C2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caso di edificio completamente abusivo, oggetto di domanda di condono edilizio non ancora esaminata e </w:t>
      </w:r>
      <w:r w:rsidRPr="00883ADC">
        <w:rPr>
          <w:rFonts w:ascii="Times New Roman" w:hAnsi="Times New Roman" w:cs="Times New Roman"/>
          <w:sz w:val="28"/>
          <w:szCs w:val="28"/>
          <w:u w:val="single"/>
        </w:rPr>
        <w:t>non interessato da alcun provvedimento giudiziario</w:t>
      </w:r>
      <w:r w:rsidRPr="00883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quale procedimento si adotta?</w:t>
      </w:r>
    </w:p>
    <w:p w:rsidR="00883ADC" w:rsidRPr="00883ADC" w:rsidRDefault="00883ADC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ADC">
        <w:rPr>
          <w:rFonts w:ascii="Times New Roman" w:hAnsi="Times New Roman" w:cs="Times New Roman"/>
          <w:b/>
          <w:sz w:val="28"/>
          <w:szCs w:val="28"/>
        </w:rPr>
        <w:t xml:space="preserve">La domanda di condono segue un suo iter autonomo. Come si è detto, per i beni condonati, </w:t>
      </w:r>
      <w:r w:rsidR="00E379F8" w:rsidRPr="00883ADC">
        <w:rPr>
          <w:rFonts w:ascii="Times New Roman" w:hAnsi="Times New Roman" w:cs="Times New Roman"/>
          <w:b/>
          <w:sz w:val="28"/>
          <w:szCs w:val="28"/>
        </w:rPr>
        <w:t xml:space="preserve">non </w:t>
      </w:r>
      <w:r w:rsidR="00E379F8">
        <w:rPr>
          <w:rFonts w:ascii="Times New Roman" w:hAnsi="Times New Roman" w:cs="Times New Roman"/>
          <w:b/>
          <w:sz w:val="28"/>
          <w:szCs w:val="28"/>
        </w:rPr>
        <w:t xml:space="preserve">è prevista, </w:t>
      </w:r>
      <w:r w:rsidRPr="00883ADC">
        <w:rPr>
          <w:rFonts w:ascii="Times New Roman" w:hAnsi="Times New Roman" w:cs="Times New Roman"/>
          <w:b/>
          <w:sz w:val="28"/>
          <w:szCs w:val="28"/>
        </w:rPr>
        <w:t xml:space="preserve">allo stato, alcuna contribuzione </w:t>
      </w:r>
      <w:r w:rsidR="00E379F8">
        <w:rPr>
          <w:rFonts w:ascii="Times New Roman" w:hAnsi="Times New Roman" w:cs="Times New Roman"/>
          <w:b/>
          <w:sz w:val="28"/>
          <w:szCs w:val="28"/>
        </w:rPr>
        <w:t>pubblica</w:t>
      </w:r>
      <w:r w:rsidRPr="00883ADC">
        <w:rPr>
          <w:rFonts w:ascii="Times New Roman" w:hAnsi="Times New Roman" w:cs="Times New Roman"/>
          <w:b/>
          <w:sz w:val="28"/>
          <w:szCs w:val="28"/>
        </w:rPr>
        <w:t>. Rimane nella libera determinazione del proprietario ogni decisione sull’opportunità di procedere a lavori nelle forme ordinarie di leg</w:t>
      </w:r>
      <w:r>
        <w:rPr>
          <w:rFonts w:ascii="Times New Roman" w:hAnsi="Times New Roman" w:cs="Times New Roman"/>
          <w:b/>
          <w:sz w:val="28"/>
          <w:szCs w:val="28"/>
        </w:rPr>
        <w:t xml:space="preserve">ge, fermo restando che il D. L. n. 109/2018 e </w:t>
      </w:r>
      <w:r w:rsidRPr="00E60E04">
        <w:rPr>
          <w:rFonts w:ascii="Times New Roman" w:hAnsi="Times New Roman" w:cs="Times New Roman"/>
          <w:b/>
          <w:sz w:val="28"/>
          <w:szCs w:val="28"/>
        </w:rPr>
        <w:t>l</w:t>
      </w:r>
      <w:r w:rsidR="00886B6E" w:rsidRPr="00E60E04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E60E04">
        <w:rPr>
          <w:rFonts w:ascii="Times New Roman" w:hAnsi="Times New Roman" w:cs="Times New Roman"/>
          <w:b/>
          <w:sz w:val="28"/>
          <w:szCs w:val="28"/>
        </w:rPr>
        <w:t>Ordinanz</w:t>
      </w:r>
      <w:r w:rsidR="00886B6E" w:rsidRPr="00E60E04">
        <w:rPr>
          <w:rFonts w:ascii="Times New Roman" w:hAnsi="Times New Roman" w:cs="Times New Roman"/>
          <w:b/>
          <w:sz w:val="28"/>
          <w:szCs w:val="28"/>
        </w:rPr>
        <w:t>e</w:t>
      </w:r>
      <w:r w:rsidRPr="00E60E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E04">
        <w:rPr>
          <w:rFonts w:ascii="Times New Roman" w:hAnsi="Times New Roman" w:cs="Times New Roman"/>
          <w:b/>
          <w:sz w:val="28"/>
          <w:szCs w:val="28"/>
        </w:rPr>
        <w:t>n</w:t>
      </w:r>
      <w:r w:rsidR="00886B6E" w:rsidRPr="00E60E04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E60E04">
        <w:rPr>
          <w:rFonts w:ascii="Times New Roman" w:hAnsi="Times New Roman" w:cs="Times New Roman"/>
          <w:b/>
          <w:sz w:val="28"/>
          <w:szCs w:val="28"/>
        </w:rPr>
        <w:t>. 2</w:t>
      </w:r>
      <w:r w:rsidR="00886B6E" w:rsidRPr="00E60E04">
        <w:rPr>
          <w:rFonts w:ascii="Times New Roman" w:hAnsi="Times New Roman" w:cs="Times New Roman"/>
          <w:b/>
          <w:sz w:val="28"/>
          <w:szCs w:val="28"/>
        </w:rPr>
        <w:t>/2018 e 4</w:t>
      </w:r>
      <w:r w:rsidRPr="00E60E04">
        <w:rPr>
          <w:rFonts w:ascii="Times New Roman" w:hAnsi="Times New Roman" w:cs="Times New Roman"/>
          <w:b/>
          <w:sz w:val="28"/>
          <w:szCs w:val="28"/>
        </w:rPr>
        <w:t>/201</w:t>
      </w:r>
      <w:r w:rsidR="00886B6E" w:rsidRPr="00E60E0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non riguardano </w:t>
      </w:r>
      <w:r w:rsidR="00E379F8">
        <w:rPr>
          <w:rFonts w:ascii="Times New Roman" w:hAnsi="Times New Roman" w:cs="Times New Roman"/>
          <w:b/>
          <w:sz w:val="28"/>
          <w:szCs w:val="28"/>
        </w:rPr>
        <w:t xml:space="preserve">interventi economici per i </w:t>
      </w:r>
      <w:r>
        <w:rPr>
          <w:rFonts w:ascii="Times New Roman" w:hAnsi="Times New Roman" w:cs="Times New Roman"/>
          <w:b/>
          <w:sz w:val="28"/>
          <w:szCs w:val="28"/>
        </w:rPr>
        <w:t>beni completamente abusivi.</w:t>
      </w:r>
    </w:p>
    <w:p w:rsidR="00BE7F5D" w:rsidRDefault="00BE7F5D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Atteso che l’art. 25, comma 3 del D. L. n. 109/2018 prevede che “</w:t>
      </w:r>
      <w:r w:rsidRPr="006F48C7">
        <w:rPr>
          <w:rFonts w:ascii="Times New Roman" w:hAnsi="Times New Roman" w:cs="Times New Roman"/>
          <w:i/>
          <w:sz w:val="28"/>
          <w:szCs w:val="28"/>
        </w:rPr>
        <w:t xml:space="preserve">il contributo comunque non spetta </w:t>
      </w:r>
      <w:r w:rsidR="0003168E" w:rsidRPr="006F48C7">
        <w:rPr>
          <w:rFonts w:ascii="Times New Roman" w:hAnsi="Times New Roman" w:cs="Times New Roman"/>
          <w:i/>
          <w:sz w:val="28"/>
          <w:szCs w:val="28"/>
        </w:rPr>
        <w:t>per la parte relativa ad eventuali aumenti di volume oggetto del condono</w:t>
      </w:r>
      <w:r w:rsidR="0003168E">
        <w:rPr>
          <w:rFonts w:ascii="Times New Roman" w:hAnsi="Times New Roman" w:cs="Times New Roman"/>
          <w:sz w:val="28"/>
          <w:szCs w:val="28"/>
        </w:rPr>
        <w:t xml:space="preserve">”, si chiede se per un fabbricato con tali caratteristiche si debbano comunque seguire le prescrizioni e le procedure dell’Ordinanza n. 2/18, oppure è possibile presentare una pratica edilizia (CILA, SCIA, DIA </w:t>
      </w:r>
      <w:proofErr w:type="spellStart"/>
      <w:r w:rsidR="0003168E">
        <w:rPr>
          <w:rFonts w:ascii="Times New Roman" w:hAnsi="Times New Roman" w:cs="Times New Roman"/>
          <w:sz w:val="28"/>
          <w:szCs w:val="28"/>
        </w:rPr>
        <w:t>ec</w:t>
      </w:r>
      <w:proofErr w:type="spellEnd"/>
      <w:r w:rsidR="0003168E">
        <w:rPr>
          <w:rFonts w:ascii="Times New Roman" w:hAnsi="Times New Roman" w:cs="Times New Roman"/>
          <w:sz w:val="28"/>
          <w:szCs w:val="28"/>
        </w:rPr>
        <w:t>.) nel rispetto delle normative di settore vigenti e del Regolamento edilizio e iniziare i lavori senza il preventivo esame dell’istanza di condono edilizio?</w:t>
      </w:r>
    </w:p>
    <w:p w:rsidR="00AC12F2" w:rsidRPr="00E60E04" w:rsidRDefault="001C6173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04">
        <w:rPr>
          <w:rFonts w:ascii="Times New Roman" w:hAnsi="Times New Roman" w:cs="Times New Roman"/>
          <w:b/>
          <w:sz w:val="28"/>
          <w:szCs w:val="28"/>
        </w:rPr>
        <w:t>Fermo restando quanto già chiarito ai punti precedenti e che l’eventuale esito negativo dell’istanza di condono ripristina l’ordine di demolizione per le opere abusive, gli interventi per cui è possibile fornire indicazioni da parte di questa struttura commissariale sono esclusivamente quelli disciplinati dal D.L. 109/2018.</w:t>
      </w:r>
    </w:p>
    <w:p w:rsidR="0003168E" w:rsidRDefault="0003168E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gli interventi con lavorazioni non presenti nel prezziario LL.PP. della Regione Campania </w:t>
      </w:r>
      <w:r w:rsidR="006F48C7">
        <w:rPr>
          <w:rFonts w:ascii="Times New Roman" w:hAnsi="Times New Roman" w:cs="Times New Roman"/>
          <w:sz w:val="28"/>
          <w:szCs w:val="28"/>
        </w:rPr>
        <w:t>è possibile utilizzare prezzari di altri Enti?</w:t>
      </w:r>
    </w:p>
    <w:p w:rsidR="00152B8A" w:rsidRDefault="006F48C7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Sui prezzi desunti da prezzari diversi da quello della Regione Campania si applicano le maggiorazioni previste per le isole (di cui all</w:t>
      </w:r>
      <w:r w:rsidR="00D30A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ordinanza n. 2/18, a</w:t>
      </w:r>
      <w:r w:rsidR="00152B8A">
        <w:rPr>
          <w:rFonts w:ascii="Times New Roman" w:hAnsi="Times New Roman" w:cs="Times New Roman"/>
          <w:sz w:val="28"/>
          <w:szCs w:val="28"/>
        </w:rPr>
        <w:t>rt. 2, comma 5, lettera b) III).</w:t>
      </w:r>
    </w:p>
    <w:p w:rsidR="00F942F5" w:rsidRPr="00152B8A" w:rsidRDefault="00883ADC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B8A">
        <w:rPr>
          <w:rFonts w:ascii="Times New Roman" w:hAnsi="Times New Roman" w:cs="Times New Roman"/>
          <w:sz w:val="28"/>
          <w:szCs w:val="28"/>
        </w:rPr>
        <w:t>E’</w:t>
      </w:r>
      <w:r w:rsidR="006F48C7" w:rsidRPr="00152B8A">
        <w:rPr>
          <w:rFonts w:ascii="Times New Roman" w:hAnsi="Times New Roman" w:cs="Times New Roman"/>
          <w:sz w:val="28"/>
          <w:szCs w:val="28"/>
        </w:rPr>
        <w:t>ammesso</w:t>
      </w:r>
      <w:proofErr w:type="spellEnd"/>
      <w:r w:rsidR="006F48C7" w:rsidRPr="00152B8A">
        <w:rPr>
          <w:rFonts w:ascii="Times New Roman" w:hAnsi="Times New Roman" w:cs="Times New Roman"/>
          <w:sz w:val="28"/>
          <w:szCs w:val="28"/>
        </w:rPr>
        <w:t xml:space="preserve"> l’utilizzo del prezzo desunto con “analisi prezzo”</w:t>
      </w:r>
      <w:r w:rsidR="0029201F" w:rsidRPr="00152B8A">
        <w:rPr>
          <w:rFonts w:ascii="Times New Roman" w:hAnsi="Times New Roman" w:cs="Times New Roman"/>
          <w:sz w:val="28"/>
          <w:szCs w:val="28"/>
        </w:rPr>
        <w:t>?</w:t>
      </w:r>
    </w:p>
    <w:p w:rsidR="006F48C7" w:rsidRDefault="006F48C7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04">
        <w:rPr>
          <w:rFonts w:ascii="Times New Roman" w:hAnsi="Times New Roman" w:cs="Times New Roman"/>
          <w:b/>
          <w:sz w:val="28"/>
          <w:szCs w:val="28"/>
        </w:rPr>
        <w:t>In riferimento a</w:t>
      </w:r>
      <w:r w:rsidR="0029201F" w:rsidRPr="00E60E04">
        <w:rPr>
          <w:rFonts w:ascii="Times New Roman" w:hAnsi="Times New Roman" w:cs="Times New Roman"/>
          <w:b/>
          <w:sz w:val="28"/>
          <w:szCs w:val="28"/>
        </w:rPr>
        <w:t>i</w:t>
      </w:r>
      <w:r w:rsidRPr="00E60E04">
        <w:rPr>
          <w:rFonts w:ascii="Times New Roman" w:hAnsi="Times New Roman" w:cs="Times New Roman"/>
          <w:b/>
          <w:sz w:val="28"/>
          <w:szCs w:val="28"/>
        </w:rPr>
        <w:t xml:space="preserve"> quesit</w:t>
      </w:r>
      <w:r w:rsidR="0029201F" w:rsidRPr="00E60E04">
        <w:rPr>
          <w:rFonts w:ascii="Times New Roman" w:hAnsi="Times New Roman" w:cs="Times New Roman"/>
          <w:b/>
          <w:sz w:val="28"/>
          <w:szCs w:val="28"/>
        </w:rPr>
        <w:t>i</w:t>
      </w:r>
      <w:r w:rsidR="00E60E04">
        <w:rPr>
          <w:rFonts w:ascii="Times New Roman" w:hAnsi="Times New Roman" w:cs="Times New Roman"/>
          <w:b/>
          <w:sz w:val="28"/>
          <w:szCs w:val="28"/>
        </w:rPr>
        <w:t xml:space="preserve"> 9) e 10), n</w:t>
      </w:r>
      <w:r w:rsidR="0029201F" w:rsidRPr="00AC12F2">
        <w:rPr>
          <w:rFonts w:ascii="Times New Roman" w:hAnsi="Times New Roman" w:cs="Times New Roman"/>
          <w:b/>
          <w:sz w:val="28"/>
          <w:szCs w:val="28"/>
        </w:rPr>
        <w:t>el caso di</w:t>
      </w:r>
      <w:r w:rsidRPr="00AC12F2">
        <w:rPr>
          <w:rFonts w:ascii="Times New Roman" w:hAnsi="Times New Roman" w:cs="Times New Roman"/>
          <w:b/>
          <w:sz w:val="28"/>
          <w:szCs w:val="28"/>
        </w:rPr>
        <w:t xml:space="preserve"> assenza di voci di prezzo all’interno del pr</w:t>
      </w:r>
      <w:r w:rsidR="00F22E06">
        <w:rPr>
          <w:rFonts w:ascii="Times New Roman" w:hAnsi="Times New Roman" w:cs="Times New Roman"/>
          <w:b/>
          <w:sz w:val="28"/>
          <w:szCs w:val="28"/>
        </w:rPr>
        <w:t>ezzario della Regione Campania (</w:t>
      </w:r>
      <w:r w:rsidR="004E3441">
        <w:rPr>
          <w:rFonts w:ascii="Times New Roman" w:hAnsi="Times New Roman" w:cs="Times New Roman"/>
          <w:b/>
          <w:sz w:val="28"/>
          <w:szCs w:val="28"/>
        </w:rPr>
        <w:t>ipotesi eccezionale</w:t>
      </w:r>
      <w:r w:rsidR="00F22E06">
        <w:rPr>
          <w:rFonts w:ascii="Times New Roman" w:hAnsi="Times New Roman" w:cs="Times New Roman"/>
          <w:b/>
          <w:sz w:val="28"/>
          <w:szCs w:val="28"/>
        </w:rPr>
        <w:t>)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6D49">
        <w:rPr>
          <w:rFonts w:ascii="Times New Roman" w:hAnsi="Times New Roman" w:cs="Times New Roman"/>
          <w:b/>
          <w:sz w:val="28"/>
          <w:szCs w:val="28"/>
        </w:rPr>
        <w:t>occorre</w:t>
      </w:r>
      <w:r w:rsidR="002E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2F2">
        <w:rPr>
          <w:rFonts w:ascii="Times New Roman" w:hAnsi="Times New Roman" w:cs="Times New Roman"/>
          <w:b/>
          <w:sz w:val="28"/>
          <w:szCs w:val="28"/>
        </w:rPr>
        <w:t>far ricorso all’analisi prezzo</w:t>
      </w:r>
      <w:r w:rsidR="00BE0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FF6" w:rsidRPr="00E60E04">
        <w:rPr>
          <w:rFonts w:ascii="Times New Roman" w:hAnsi="Times New Roman" w:cs="Times New Roman"/>
          <w:b/>
          <w:sz w:val="28"/>
          <w:szCs w:val="28"/>
        </w:rPr>
        <w:t>Le maggiorazioni sono possibili solo per i prezzi previsti nel prezzario Regione Campania.</w:t>
      </w:r>
    </w:p>
    <w:p w:rsidR="00163A84" w:rsidRPr="00152B8A" w:rsidRDefault="00163A84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2B8A">
        <w:rPr>
          <w:rFonts w:ascii="Times New Roman" w:hAnsi="Times New Roman" w:cs="Times New Roman"/>
          <w:sz w:val="28"/>
          <w:szCs w:val="28"/>
        </w:rPr>
        <w:t>Gli interventi sugli immobili e/o edifici interessati da “danni lievi” che non sono in linea con la normativa sismica vigente (per esempio: edificio in muratura</w:t>
      </w:r>
      <w:r w:rsidR="00D07F5A" w:rsidRPr="00152B8A">
        <w:rPr>
          <w:rFonts w:ascii="Times New Roman" w:hAnsi="Times New Roman" w:cs="Times New Roman"/>
          <w:sz w:val="28"/>
          <w:szCs w:val="28"/>
        </w:rPr>
        <w:t xml:space="preserve"> privo dei muri di collegamento</w:t>
      </w:r>
      <w:r w:rsidRPr="00152B8A">
        <w:rPr>
          <w:rFonts w:ascii="Times New Roman" w:hAnsi="Times New Roman" w:cs="Times New Roman"/>
          <w:sz w:val="28"/>
          <w:szCs w:val="28"/>
        </w:rPr>
        <w:t>, oppure vani che non rispettano le richieste distanze dai cantonali ecc.), rientrano sempre nella tipologia di cui all’ordinanza n. 2/18 o - contenendo opere di maggiore importanza - devono seguire un iter diverso da quello di cui all’ordinanza suddetta?</w:t>
      </w:r>
    </w:p>
    <w:p w:rsidR="00186AF1" w:rsidRDefault="00AC12F2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163A84" w:rsidRPr="00167A55">
        <w:rPr>
          <w:rFonts w:ascii="Times New Roman" w:hAnsi="Times New Roman" w:cs="Times New Roman"/>
          <w:b/>
          <w:sz w:val="28"/>
          <w:szCs w:val="28"/>
        </w:rPr>
        <w:t>li interventi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 ammessi nel caso di riparazioni di danni lievi</w:t>
      </w:r>
      <w:r w:rsidR="00163A84" w:rsidRPr="00167A55">
        <w:rPr>
          <w:rFonts w:ascii="Times New Roman" w:hAnsi="Times New Roman" w:cs="Times New Roman"/>
          <w:b/>
          <w:sz w:val="28"/>
          <w:szCs w:val="28"/>
        </w:rPr>
        <w:t xml:space="preserve"> sono quelli d</w:t>
      </w:r>
      <w:r w:rsidR="009F5779" w:rsidRPr="00167A55">
        <w:rPr>
          <w:rFonts w:ascii="Times New Roman" w:hAnsi="Times New Roman" w:cs="Times New Roman"/>
          <w:b/>
          <w:sz w:val="28"/>
          <w:szCs w:val="28"/>
        </w:rPr>
        <w:t xml:space="preserve">i rafforzamento locale, con l’obiettivo di ripristinare lo stato di agibilità ante sisma. </w:t>
      </w:r>
      <w:r w:rsidR="00266D49">
        <w:rPr>
          <w:rFonts w:ascii="Times New Roman" w:hAnsi="Times New Roman" w:cs="Times New Roman"/>
          <w:b/>
          <w:sz w:val="28"/>
          <w:szCs w:val="28"/>
        </w:rPr>
        <w:t>U</w:t>
      </w:r>
      <w:r w:rsidR="009F5779" w:rsidRPr="00167A55">
        <w:rPr>
          <w:rFonts w:ascii="Times New Roman" w:hAnsi="Times New Roman" w:cs="Times New Roman"/>
          <w:b/>
          <w:sz w:val="28"/>
          <w:szCs w:val="28"/>
        </w:rPr>
        <w:t xml:space="preserve">n edificio non </w:t>
      </w:r>
      <w:r w:rsidR="004E3441">
        <w:rPr>
          <w:rFonts w:ascii="Times New Roman" w:hAnsi="Times New Roman" w:cs="Times New Roman"/>
          <w:b/>
          <w:sz w:val="28"/>
          <w:szCs w:val="28"/>
        </w:rPr>
        <w:t>adeguato alla</w:t>
      </w:r>
      <w:r w:rsidR="009F5779" w:rsidRPr="00167A55">
        <w:rPr>
          <w:rFonts w:ascii="Times New Roman" w:hAnsi="Times New Roman" w:cs="Times New Roman"/>
          <w:b/>
          <w:sz w:val="28"/>
          <w:szCs w:val="28"/>
        </w:rPr>
        <w:t xml:space="preserve"> normativa sismica vigente prima del sisma, continuerà a non esserlo anche dopo l’intervento di riparazione del danno lieve. 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Atteso che </w:t>
      </w:r>
      <w:r w:rsidR="00291FF6" w:rsidRPr="00E60E04">
        <w:rPr>
          <w:rFonts w:ascii="Times New Roman" w:hAnsi="Times New Roman" w:cs="Times New Roman"/>
          <w:b/>
          <w:sz w:val="28"/>
          <w:szCs w:val="28"/>
        </w:rPr>
        <w:t xml:space="preserve">le Ordinanze </w:t>
      </w:r>
      <w:proofErr w:type="spellStart"/>
      <w:r w:rsidR="00291FF6" w:rsidRPr="00E60E04">
        <w:rPr>
          <w:rFonts w:ascii="Times New Roman" w:hAnsi="Times New Roman" w:cs="Times New Roman"/>
          <w:b/>
          <w:sz w:val="28"/>
          <w:szCs w:val="28"/>
        </w:rPr>
        <w:t>nn</w:t>
      </w:r>
      <w:proofErr w:type="spellEnd"/>
      <w:r w:rsidR="00291FF6" w:rsidRPr="00E60E04">
        <w:rPr>
          <w:rFonts w:ascii="Times New Roman" w:hAnsi="Times New Roman" w:cs="Times New Roman"/>
          <w:b/>
          <w:sz w:val="28"/>
          <w:szCs w:val="28"/>
        </w:rPr>
        <w:t>. 2/2018 e 4/2019</w:t>
      </w:r>
      <w:r w:rsidR="009F5779" w:rsidRPr="00E60E04">
        <w:rPr>
          <w:rFonts w:ascii="Times New Roman" w:hAnsi="Times New Roman" w:cs="Times New Roman"/>
          <w:b/>
          <w:sz w:val="28"/>
          <w:szCs w:val="28"/>
        </w:rPr>
        <w:t>, in analogia al Sisma Centro Italia, non preved</w:t>
      </w:r>
      <w:r w:rsidR="00291FF6" w:rsidRPr="00E60E04">
        <w:rPr>
          <w:rFonts w:ascii="Times New Roman" w:hAnsi="Times New Roman" w:cs="Times New Roman"/>
          <w:b/>
          <w:sz w:val="28"/>
          <w:szCs w:val="28"/>
        </w:rPr>
        <w:t>ono</w:t>
      </w:r>
      <w:r w:rsidR="009F5779" w:rsidRPr="00E60E04">
        <w:rPr>
          <w:rFonts w:ascii="Times New Roman" w:hAnsi="Times New Roman" w:cs="Times New Roman"/>
          <w:b/>
          <w:sz w:val="28"/>
          <w:szCs w:val="28"/>
        </w:rPr>
        <w:t xml:space="preserve"> il miglioramento</w:t>
      </w:r>
      <w:r w:rsidR="009F5779" w:rsidRPr="00167A55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4E3441">
        <w:rPr>
          <w:rFonts w:ascii="Times New Roman" w:hAnsi="Times New Roman" w:cs="Times New Roman"/>
          <w:b/>
          <w:sz w:val="28"/>
          <w:szCs w:val="28"/>
        </w:rPr>
        <w:t>ismico nel caso dei danni lievi, i</w:t>
      </w:r>
      <w:r>
        <w:rPr>
          <w:rFonts w:ascii="Times New Roman" w:hAnsi="Times New Roman" w:cs="Times New Roman"/>
          <w:b/>
          <w:sz w:val="28"/>
          <w:szCs w:val="28"/>
        </w:rPr>
        <w:t xml:space="preserve">l miglioramento sismico </w:t>
      </w:r>
      <w:r w:rsidR="00266D49">
        <w:rPr>
          <w:rFonts w:ascii="Times New Roman" w:hAnsi="Times New Roman" w:cs="Times New Roman"/>
          <w:b/>
          <w:sz w:val="28"/>
          <w:szCs w:val="28"/>
        </w:rPr>
        <w:t>di cui all’</w:t>
      </w:r>
      <w:r w:rsidR="007D7508">
        <w:rPr>
          <w:rFonts w:ascii="Times New Roman" w:hAnsi="Times New Roman" w:cs="Times New Roman"/>
          <w:b/>
          <w:sz w:val="28"/>
          <w:szCs w:val="28"/>
        </w:rPr>
        <w:t>art. 21, comma 1</w:t>
      </w:r>
      <w:r w:rsidR="00D479A3">
        <w:rPr>
          <w:rFonts w:ascii="Times New Roman" w:hAnsi="Times New Roman" w:cs="Times New Roman"/>
          <w:b/>
          <w:sz w:val="28"/>
          <w:szCs w:val="28"/>
        </w:rPr>
        <w:t>, lettera b) del D. L. n. 109/2018</w:t>
      </w:r>
      <w:r w:rsidR="002E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D49">
        <w:rPr>
          <w:rFonts w:ascii="Times New Roman" w:hAnsi="Times New Roman" w:cs="Times New Roman"/>
          <w:b/>
          <w:sz w:val="28"/>
          <w:szCs w:val="28"/>
        </w:rPr>
        <w:t>po</w:t>
      </w:r>
      <w:r w:rsidR="007D7508">
        <w:rPr>
          <w:rFonts w:ascii="Times New Roman" w:hAnsi="Times New Roman" w:cs="Times New Roman"/>
          <w:b/>
          <w:sz w:val="28"/>
          <w:szCs w:val="28"/>
        </w:rPr>
        <w:t>trà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3441" w:rsidRPr="00167A55">
        <w:rPr>
          <w:rFonts w:ascii="Times New Roman" w:hAnsi="Times New Roman" w:cs="Times New Roman"/>
          <w:b/>
          <w:sz w:val="28"/>
          <w:szCs w:val="28"/>
        </w:rPr>
        <w:t>in analogia al Centro Italia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D7508">
        <w:rPr>
          <w:rFonts w:ascii="Times New Roman" w:hAnsi="Times New Roman" w:cs="Times New Roman"/>
          <w:b/>
          <w:sz w:val="28"/>
          <w:szCs w:val="28"/>
        </w:rPr>
        <w:t xml:space="preserve">essere </w:t>
      </w:r>
      <w:r w:rsidR="008B36A0">
        <w:rPr>
          <w:rFonts w:ascii="Times New Roman" w:hAnsi="Times New Roman" w:cs="Times New Roman"/>
          <w:b/>
          <w:sz w:val="28"/>
          <w:szCs w:val="28"/>
        </w:rPr>
        <w:t>attuato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 secondo</w:t>
      </w:r>
      <w:r w:rsidR="00266D49">
        <w:rPr>
          <w:rFonts w:ascii="Times New Roman" w:hAnsi="Times New Roman" w:cs="Times New Roman"/>
          <w:b/>
          <w:sz w:val="28"/>
          <w:szCs w:val="28"/>
        </w:rPr>
        <w:t xml:space="preserve"> criteri</w:t>
      </w:r>
      <w:r w:rsidR="00291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che saranno stabiliti </w:t>
      </w:r>
      <w:r w:rsidR="008B36A0">
        <w:rPr>
          <w:rFonts w:ascii="Times New Roman" w:hAnsi="Times New Roman" w:cs="Times New Roman"/>
          <w:b/>
          <w:sz w:val="28"/>
          <w:szCs w:val="28"/>
        </w:rPr>
        <w:t xml:space="preserve">con </w:t>
      </w:r>
      <w:r w:rsidR="007D7508">
        <w:rPr>
          <w:rFonts w:ascii="Times New Roman" w:hAnsi="Times New Roman" w:cs="Times New Roman"/>
          <w:b/>
          <w:sz w:val="28"/>
          <w:szCs w:val="28"/>
        </w:rPr>
        <w:t>apposita ordinanza</w:t>
      </w:r>
      <w:r w:rsidR="004E34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5A95" w:rsidRDefault="00F15A95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fini del finanziamento per interventi per “danni lievi”, nell’ordinanza n. 2/18, all’art. 2, comma 5, non vi è riferimento al contratto d’appalto, esso deve rispondere a requisiti specifici (con modello fornito dalla struttura commissariale) o è rimesso alla libera contrattazione?</w:t>
      </w:r>
    </w:p>
    <w:p w:rsidR="00B65612" w:rsidRPr="00B65612" w:rsidRDefault="00291FF6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04">
        <w:rPr>
          <w:rFonts w:ascii="Times New Roman" w:hAnsi="Times New Roman" w:cs="Times New Roman"/>
          <w:b/>
          <w:sz w:val="28"/>
          <w:szCs w:val="28"/>
        </w:rPr>
        <w:t xml:space="preserve">Nelle more della predisposizione di una specifica modulistica </w:t>
      </w:r>
      <w:proofErr w:type="spellStart"/>
      <w:r w:rsidRPr="00E60E04">
        <w:rPr>
          <w:rFonts w:ascii="Times New Roman" w:hAnsi="Times New Roman" w:cs="Times New Roman"/>
          <w:b/>
          <w:sz w:val="28"/>
          <w:szCs w:val="28"/>
        </w:rPr>
        <w:t>facilitativa</w:t>
      </w:r>
      <w:proofErr w:type="spellEnd"/>
      <w:r w:rsidRPr="00E60E04">
        <w:rPr>
          <w:rFonts w:ascii="Times New Roman" w:hAnsi="Times New Roman" w:cs="Times New Roman"/>
          <w:b/>
          <w:sz w:val="28"/>
          <w:szCs w:val="28"/>
        </w:rPr>
        <w:t>, g</w:t>
      </w:r>
      <w:r w:rsidR="00F15A95" w:rsidRPr="00E60E04">
        <w:rPr>
          <w:rFonts w:ascii="Times New Roman" w:hAnsi="Times New Roman" w:cs="Times New Roman"/>
          <w:b/>
          <w:sz w:val="28"/>
          <w:szCs w:val="28"/>
        </w:rPr>
        <w:t>li</w:t>
      </w:r>
      <w:r w:rsidR="00F15A95">
        <w:rPr>
          <w:rFonts w:ascii="Times New Roman" w:hAnsi="Times New Roman" w:cs="Times New Roman"/>
          <w:b/>
          <w:sz w:val="28"/>
          <w:szCs w:val="28"/>
        </w:rPr>
        <w:t xml:space="preserve"> aspetti del rapporto tra il soggetto danneggiato e l’im</w:t>
      </w:r>
      <w:r w:rsidR="005B243A">
        <w:rPr>
          <w:rFonts w:ascii="Times New Roman" w:hAnsi="Times New Roman" w:cs="Times New Roman"/>
          <w:b/>
          <w:sz w:val="28"/>
          <w:szCs w:val="28"/>
        </w:rPr>
        <w:t>presa, per la parte di interesse</w:t>
      </w:r>
      <w:r w:rsidR="00F15A95">
        <w:rPr>
          <w:rFonts w:ascii="Times New Roman" w:hAnsi="Times New Roman" w:cs="Times New Roman"/>
          <w:b/>
          <w:sz w:val="28"/>
          <w:szCs w:val="28"/>
        </w:rPr>
        <w:t>, sono quelli normati dal D. L. n. 109/</w:t>
      </w:r>
      <w:r w:rsidR="00F15A95" w:rsidRPr="00E60E04">
        <w:rPr>
          <w:rFonts w:ascii="Times New Roman" w:hAnsi="Times New Roman" w:cs="Times New Roman"/>
          <w:b/>
          <w:sz w:val="28"/>
          <w:szCs w:val="28"/>
        </w:rPr>
        <w:t xml:space="preserve">2018 e </w:t>
      </w:r>
      <w:r w:rsidRPr="00E60E04">
        <w:rPr>
          <w:rFonts w:ascii="Times New Roman" w:hAnsi="Times New Roman" w:cs="Times New Roman"/>
          <w:b/>
          <w:sz w:val="28"/>
          <w:szCs w:val="28"/>
        </w:rPr>
        <w:t xml:space="preserve">dalle Ordinanze </w:t>
      </w:r>
      <w:proofErr w:type="spellStart"/>
      <w:r w:rsidRPr="00E60E04">
        <w:rPr>
          <w:rFonts w:ascii="Times New Roman" w:hAnsi="Times New Roman" w:cs="Times New Roman"/>
          <w:b/>
          <w:sz w:val="28"/>
          <w:szCs w:val="28"/>
        </w:rPr>
        <w:t>nn</w:t>
      </w:r>
      <w:proofErr w:type="spellEnd"/>
      <w:r w:rsidRPr="00E60E04">
        <w:rPr>
          <w:rFonts w:ascii="Times New Roman" w:hAnsi="Times New Roman" w:cs="Times New Roman"/>
          <w:b/>
          <w:sz w:val="28"/>
          <w:szCs w:val="28"/>
        </w:rPr>
        <w:t>. 2/2018 e 4/2019</w:t>
      </w:r>
      <w:r w:rsidR="00E60E04" w:rsidRPr="00E60E04">
        <w:rPr>
          <w:rFonts w:ascii="Times New Roman" w:hAnsi="Times New Roman" w:cs="Times New Roman"/>
          <w:b/>
          <w:sz w:val="28"/>
          <w:szCs w:val="28"/>
        </w:rPr>
        <w:t>.</w:t>
      </w:r>
    </w:p>
    <w:p w:rsidR="00B65612" w:rsidRPr="00B65612" w:rsidRDefault="00B65612" w:rsidP="00152B8A">
      <w:pPr>
        <w:pStyle w:val="Paragrafoelenco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5612">
        <w:rPr>
          <w:rFonts w:ascii="Times New Roman" w:hAnsi="Times New Roman" w:cs="Times New Roman"/>
          <w:sz w:val="28"/>
          <w:szCs w:val="28"/>
        </w:rPr>
        <w:t>Pervengono quesiti in ordine alla presentazione delle domande di concessione   di contributo per danni lievi conseguenti al sisma del 21 agosto 2017.</w:t>
      </w:r>
    </w:p>
    <w:p w:rsidR="00B65612" w:rsidRPr="00152B8A" w:rsidRDefault="00B65612" w:rsidP="00152B8A">
      <w:pPr>
        <w:pStyle w:val="Paragrafoelenco"/>
        <w:spacing w:after="0" w:line="312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8A">
        <w:rPr>
          <w:rFonts w:ascii="Times New Roman" w:hAnsi="Times New Roman" w:cs="Times New Roman"/>
          <w:b/>
          <w:sz w:val="28"/>
          <w:szCs w:val="28"/>
        </w:rPr>
        <w:t xml:space="preserve">A riguardo dette domande potranno essere accettate anche successivamente </w:t>
      </w:r>
      <w:r w:rsidR="00152B8A">
        <w:rPr>
          <w:rFonts w:ascii="Times New Roman" w:hAnsi="Times New Roman" w:cs="Times New Roman"/>
          <w:b/>
          <w:sz w:val="28"/>
          <w:szCs w:val="28"/>
        </w:rPr>
        <w:t xml:space="preserve">alla </w:t>
      </w:r>
      <w:bookmarkStart w:id="0" w:name="_GoBack"/>
      <w:bookmarkEnd w:id="0"/>
      <w:r w:rsidRPr="00152B8A">
        <w:rPr>
          <w:rFonts w:ascii="Times New Roman" w:hAnsi="Times New Roman" w:cs="Times New Roman"/>
          <w:b/>
          <w:sz w:val="28"/>
          <w:szCs w:val="28"/>
        </w:rPr>
        <w:t xml:space="preserve">data del 31 luglio 2019 e, comunque, entro il mese di dicembre 2019, </w:t>
      </w:r>
      <w:r w:rsidRPr="00152B8A">
        <w:rPr>
          <w:rFonts w:ascii="Times New Roman" w:hAnsi="Times New Roman" w:cs="Times New Roman"/>
          <w:b/>
          <w:sz w:val="28"/>
          <w:szCs w:val="28"/>
        </w:rPr>
        <w:lastRenderedPageBreak/>
        <w:t>atteso che detta presentazione è stata sospesa da molti cittadini perché essi hanno ritenuto ragionevolmente utile attendere i risultati della microzonazione sismica.</w:t>
      </w:r>
    </w:p>
    <w:p w:rsidR="0051676C" w:rsidRDefault="0051676C" w:rsidP="00152B8A">
      <w:pPr>
        <w:pStyle w:val="Paragrafoelenco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76C" w:rsidRPr="0051676C" w:rsidRDefault="0051676C" w:rsidP="00152B8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6C" w:rsidRPr="00B65612" w:rsidRDefault="0051676C" w:rsidP="00152B8A">
      <w:pPr>
        <w:pStyle w:val="Paragrafoelenco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612" w:rsidRPr="00B65612" w:rsidRDefault="00B65612" w:rsidP="00152B8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4F" w:rsidRDefault="00E5694F" w:rsidP="00152B8A">
      <w:pPr>
        <w:pStyle w:val="Paragrafoelenco"/>
        <w:spacing w:after="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694F" w:rsidSect="00024683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0BF"/>
    <w:multiLevelType w:val="hybridMultilevel"/>
    <w:tmpl w:val="3F669D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C2513"/>
    <w:multiLevelType w:val="hybridMultilevel"/>
    <w:tmpl w:val="F1DAC0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B82"/>
    <w:multiLevelType w:val="hybridMultilevel"/>
    <w:tmpl w:val="42C617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2881"/>
    <w:multiLevelType w:val="hybridMultilevel"/>
    <w:tmpl w:val="2CAC4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66FB"/>
    <w:multiLevelType w:val="hybridMultilevel"/>
    <w:tmpl w:val="D7542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6D3C"/>
    <w:multiLevelType w:val="hybridMultilevel"/>
    <w:tmpl w:val="4CC81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1B5C"/>
    <w:multiLevelType w:val="hybridMultilevel"/>
    <w:tmpl w:val="F9B0626C"/>
    <w:lvl w:ilvl="0" w:tplc="98EC19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BFE6416"/>
    <w:multiLevelType w:val="hybridMultilevel"/>
    <w:tmpl w:val="882806AE"/>
    <w:lvl w:ilvl="0" w:tplc="324C0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B2E79"/>
    <w:multiLevelType w:val="hybridMultilevel"/>
    <w:tmpl w:val="1A8A9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678A"/>
    <w:multiLevelType w:val="hybridMultilevel"/>
    <w:tmpl w:val="816200A2"/>
    <w:lvl w:ilvl="0" w:tplc="A1141E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2E4FC5"/>
    <w:multiLevelType w:val="hybridMultilevel"/>
    <w:tmpl w:val="D0EED5D2"/>
    <w:lvl w:ilvl="0" w:tplc="98EC19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2367F3"/>
    <w:multiLevelType w:val="hybridMultilevel"/>
    <w:tmpl w:val="4CC81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440AC"/>
    <w:multiLevelType w:val="hybridMultilevel"/>
    <w:tmpl w:val="C9CC2C34"/>
    <w:lvl w:ilvl="0" w:tplc="324C0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A1285"/>
    <w:multiLevelType w:val="hybridMultilevel"/>
    <w:tmpl w:val="4CC81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2"/>
    <w:rsid w:val="00007D13"/>
    <w:rsid w:val="00024683"/>
    <w:rsid w:val="000275AE"/>
    <w:rsid w:val="0003168E"/>
    <w:rsid w:val="00033C90"/>
    <w:rsid w:val="00084C34"/>
    <w:rsid w:val="00091D80"/>
    <w:rsid w:val="000B144E"/>
    <w:rsid w:val="000B7090"/>
    <w:rsid w:val="000D61D9"/>
    <w:rsid w:val="000E12FC"/>
    <w:rsid w:val="000F2F5F"/>
    <w:rsid w:val="000F374E"/>
    <w:rsid w:val="00105D84"/>
    <w:rsid w:val="00111595"/>
    <w:rsid w:val="00122C13"/>
    <w:rsid w:val="0012634E"/>
    <w:rsid w:val="001523B8"/>
    <w:rsid w:val="00152B8A"/>
    <w:rsid w:val="00163A84"/>
    <w:rsid w:val="00167A55"/>
    <w:rsid w:val="00177CA3"/>
    <w:rsid w:val="00186AF1"/>
    <w:rsid w:val="001B43BD"/>
    <w:rsid w:val="001C5075"/>
    <w:rsid w:val="001C6173"/>
    <w:rsid w:val="001F4FB7"/>
    <w:rsid w:val="001F764C"/>
    <w:rsid w:val="0022595D"/>
    <w:rsid w:val="00250CA7"/>
    <w:rsid w:val="00266D49"/>
    <w:rsid w:val="00277BE7"/>
    <w:rsid w:val="0028534F"/>
    <w:rsid w:val="00291FF6"/>
    <w:rsid w:val="0029201F"/>
    <w:rsid w:val="002923BA"/>
    <w:rsid w:val="00294EFA"/>
    <w:rsid w:val="002B27E0"/>
    <w:rsid w:val="002D5116"/>
    <w:rsid w:val="002E1E03"/>
    <w:rsid w:val="0030411D"/>
    <w:rsid w:val="003540B9"/>
    <w:rsid w:val="003C0631"/>
    <w:rsid w:val="003C0ED5"/>
    <w:rsid w:val="003C7DDB"/>
    <w:rsid w:val="003F2E94"/>
    <w:rsid w:val="003F5462"/>
    <w:rsid w:val="00401E2E"/>
    <w:rsid w:val="00441892"/>
    <w:rsid w:val="00452500"/>
    <w:rsid w:val="004A4F6F"/>
    <w:rsid w:val="004B2F61"/>
    <w:rsid w:val="004C5CCF"/>
    <w:rsid w:val="004D1FA0"/>
    <w:rsid w:val="004D70B7"/>
    <w:rsid w:val="004D7866"/>
    <w:rsid w:val="004E3441"/>
    <w:rsid w:val="004F5BC8"/>
    <w:rsid w:val="00500A9B"/>
    <w:rsid w:val="00515FC4"/>
    <w:rsid w:val="0051676C"/>
    <w:rsid w:val="005265D4"/>
    <w:rsid w:val="00533191"/>
    <w:rsid w:val="005829EC"/>
    <w:rsid w:val="005B1AA7"/>
    <w:rsid w:val="005B243A"/>
    <w:rsid w:val="005D6987"/>
    <w:rsid w:val="005E4E5F"/>
    <w:rsid w:val="005F05BB"/>
    <w:rsid w:val="006040A4"/>
    <w:rsid w:val="00605C6C"/>
    <w:rsid w:val="00647A78"/>
    <w:rsid w:val="00654E86"/>
    <w:rsid w:val="006731B2"/>
    <w:rsid w:val="006738C2"/>
    <w:rsid w:val="0069231E"/>
    <w:rsid w:val="00694738"/>
    <w:rsid w:val="006A0AA9"/>
    <w:rsid w:val="006A360B"/>
    <w:rsid w:val="006B376D"/>
    <w:rsid w:val="006C6F61"/>
    <w:rsid w:val="006E1F0B"/>
    <w:rsid w:val="006F2767"/>
    <w:rsid w:val="006F48C7"/>
    <w:rsid w:val="0070043B"/>
    <w:rsid w:val="00700AD9"/>
    <w:rsid w:val="00701569"/>
    <w:rsid w:val="007029D0"/>
    <w:rsid w:val="0071055D"/>
    <w:rsid w:val="00735621"/>
    <w:rsid w:val="00736FAB"/>
    <w:rsid w:val="00741BCE"/>
    <w:rsid w:val="00744154"/>
    <w:rsid w:val="007449C3"/>
    <w:rsid w:val="00763065"/>
    <w:rsid w:val="00774329"/>
    <w:rsid w:val="007746BE"/>
    <w:rsid w:val="007A6310"/>
    <w:rsid w:val="007A7F36"/>
    <w:rsid w:val="007B06E4"/>
    <w:rsid w:val="007C29DC"/>
    <w:rsid w:val="007D6AF8"/>
    <w:rsid w:val="007D7508"/>
    <w:rsid w:val="007F2B9B"/>
    <w:rsid w:val="00835141"/>
    <w:rsid w:val="0084298E"/>
    <w:rsid w:val="0084548B"/>
    <w:rsid w:val="00862D7E"/>
    <w:rsid w:val="0088108C"/>
    <w:rsid w:val="00883ADC"/>
    <w:rsid w:val="00886B6E"/>
    <w:rsid w:val="008B36A0"/>
    <w:rsid w:val="008C071F"/>
    <w:rsid w:val="008C3B01"/>
    <w:rsid w:val="008C636D"/>
    <w:rsid w:val="008D11CB"/>
    <w:rsid w:val="008D2E2D"/>
    <w:rsid w:val="008D3F79"/>
    <w:rsid w:val="008E026D"/>
    <w:rsid w:val="008F78D6"/>
    <w:rsid w:val="00900A54"/>
    <w:rsid w:val="00943A58"/>
    <w:rsid w:val="00960183"/>
    <w:rsid w:val="009725A2"/>
    <w:rsid w:val="00992B00"/>
    <w:rsid w:val="009B4598"/>
    <w:rsid w:val="009C0340"/>
    <w:rsid w:val="009C057E"/>
    <w:rsid w:val="009F5779"/>
    <w:rsid w:val="00A11DFF"/>
    <w:rsid w:val="00A1591A"/>
    <w:rsid w:val="00A50085"/>
    <w:rsid w:val="00A653CB"/>
    <w:rsid w:val="00A75173"/>
    <w:rsid w:val="00A84132"/>
    <w:rsid w:val="00A85044"/>
    <w:rsid w:val="00AB5280"/>
    <w:rsid w:val="00AB7281"/>
    <w:rsid w:val="00AC12F2"/>
    <w:rsid w:val="00AE428F"/>
    <w:rsid w:val="00B10087"/>
    <w:rsid w:val="00B2756A"/>
    <w:rsid w:val="00B31A5C"/>
    <w:rsid w:val="00B36AFA"/>
    <w:rsid w:val="00B41620"/>
    <w:rsid w:val="00B4521B"/>
    <w:rsid w:val="00B65612"/>
    <w:rsid w:val="00B81E11"/>
    <w:rsid w:val="00B87168"/>
    <w:rsid w:val="00BA29F2"/>
    <w:rsid w:val="00BE0CE6"/>
    <w:rsid w:val="00BE20AF"/>
    <w:rsid w:val="00BE26A7"/>
    <w:rsid w:val="00BE7F5D"/>
    <w:rsid w:val="00C324D9"/>
    <w:rsid w:val="00CD2E92"/>
    <w:rsid w:val="00D01947"/>
    <w:rsid w:val="00D04C81"/>
    <w:rsid w:val="00D07F5A"/>
    <w:rsid w:val="00D30A03"/>
    <w:rsid w:val="00D3184F"/>
    <w:rsid w:val="00D479A3"/>
    <w:rsid w:val="00D5040F"/>
    <w:rsid w:val="00D77772"/>
    <w:rsid w:val="00D77CFC"/>
    <w:rsid w:val="00D96642"/>
    <w:rsid w:val="00DC3ABA"/>
    <w:rsid w:val="00E00655"/>
    <w:rsid w:val="00E245ED"/>
    <w:rsid w:val="00E379F8"/>
    <w:rsid w:val="00E5694F"/>
    <w:rsid w:val="00E60E04"/>
    <w:rsid w:val="00E81621"/>
    <w:rsid w:val="00E8348F"/>
    <w:rsid w:val="00E85F05"/>
    <w:rsid w:val="00EF2B1C"/>
    <w:rsid w:val="00F0168F"/>
    <w:rsid w:val="00F1174C"/>
    <w:rsid w:val="00F15A95"/>
    <w:rsid w:val="00F20FA7"/>
    <w:rsid w:val="00F22E06"/>
    <w:rsid w:val="00F422B2"/>
    <w:rsid w:val="00F45C11"/>
    <w:rsid w:val="00F9114D"/>
    <w:rsid w:val="00F942F5"/>
    <w:rsid w:val="00FB1B31"/>
    <w:rsid w:val="00FB3CEB"/>
    <w:rsid w:val="00FD2A09"/>
    <w:rsid w:val="00FE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EC63"/>
  <w15:docId w15:val="{39D318A6-7FDF-4247-9DA4-6F9D6EFD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642"/>
  </w:style>
  <w:style w:type="paragraph" w:styleId="Titolo1">
    <w:name w:val="heading 1"/>
    <w:basedOn w:val="Normale"/>
    <w:next w:val="Normale"/>
    <w:link w:val="Titolo1Carattere"/>
    <w:uiPriority w:val="9"/>
    <w:qFormat/>
    <w:rsid w:val="00516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F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9F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7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tauro</dc:creator>
  <cp:keywords/>
  <dc:description/>
  <cp:lastModifiedBy>Alessandra Calcara</cp:lastModifiedBy>
  <cp:revision>15</cp:revision>
  <cp:lastPrinted>2019-02-21T09:22:00Z</cp:lastPrinted>
  <dcterms:created xsi:type="dcterms:W3CDTF">2019-02-19T08:47:00Z</dcterms:created>
  <dcterms:modified xsi:type="dcterms:W3CDTF">2021-10-12T14:21:00Z</dcterms:modified>
</cp:coreProperties>
</file>